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Održavanjem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završne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konferencije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6.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jula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2021.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godine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Beogradu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okončane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aktivnosti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realizaciji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Evropske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Exchange 5.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Ovaj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kompleksan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četvorogodišnji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Program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realizovan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peta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faza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jedne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od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najdugotrajnijih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intervencija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razvojne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podrške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neposredno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namenjene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započete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krajem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2004.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godine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Premda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završna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godina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Exchange 5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sprovedena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izmenjenom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režimu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poslovanja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administracije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usled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pandemije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korona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virusa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posvećenost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stručni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tim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uspeo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realizaciju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grant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šeme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pružanje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stručne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podrške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gradovima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opštinama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dostigne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zacrtane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ciljeve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spellStart"/>
      <w:r>
        <w:rPr>
          <w:rFonts w:ascii="Arial" w:hAnsi="Arial" w:cs="Arial"/>
          <w:color w:val="3C3D41"/>
          <w:sz w:val="21"/>
          <w:szCs w:val="21"/>
        </w:rPr>
        <w:t>Ukupna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vrednost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bila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4</w:t>
      </w:r>
      <w:proofErr w:type="gramStart"/>
      <w:r>
        <w:rPr>
          <w:rFonts w:ascii="Arial" w:hAnsi="Arial" w:cs="Arial"/>
          <w:color w:val="3C3D41"/>
          <w:sz w:val="21"/>
          <w:szCs w:val="21"/>
        </w:rPr>
        <w:t>,75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miliona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realizovan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komponente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temu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imala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upravljanje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imovinom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dok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druga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fokusu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imala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programsko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kapitalno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budžetiranje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nivou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povezivanje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okvirima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razvojnog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planiranja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.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okviru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komponente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sprovedena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grant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šema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sa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18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projekata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obuhvatili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48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gradova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opština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određen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broj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partnera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dok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20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(LS)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dobilo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pakete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ekspertske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podrške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oblasti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upravljanja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imovinom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drugu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komponentu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direktno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podržano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12 LS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dobile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sveobuhvatnu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podršku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procesu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programskog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kapitalnog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rodnog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budžetiranja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unapređivanje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transparentnosti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budžeta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Osim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gradova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opština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izabranih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konkursnom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principu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okviru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pojedinim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aktivnostima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podrške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bile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obuhvaćene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Republici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Srbiji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akreditovane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obuke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upravljanje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imovinom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instruktivne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seminare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različite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 faze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budžetskog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ciklusa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skladu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Zakonom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budžetskom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sistemu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metodologijama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propisanim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Ministarstva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finansija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modele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izradu</w:t>
      </w:r>
      <w:proofErr w:type="spellEnd"/>
      <w:r>
        <w:rPr>
          <w:rFonts w:ascii="Arial" w:hAnsi="Arial" w:cs="Arial"/>
          <w:color w:val="3C3D41"/>
          <w:sz w:val="21"/>
          <w:szCs w:val="21"/>
        </w:rPr>
        <w:t>/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unapređenje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akata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kontinuiranu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savetodavnu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pomoć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specifična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pitanja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programske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oblasti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spellStart"/>
      <w:r>
        <w:rPr>
          <w:rFonts w:ascii="Arial" w:hAnsi="Arial" w:cs="Arial"/>
          <w:color w:val="3C3D41"/>
          <w:sz w:val="21"/>
          <w:szCs w:val="21"/>
        </w:rPr>
        <w:t>Tokom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obraćanja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uvodnom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delu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skupa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Saša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Mogić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pomoćnik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ministra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državne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istakao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da je Program Exchange 5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najbolji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način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stavljen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funkciju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jačanja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administrativnih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organizacionih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tehničkih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kapaciteta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bi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unapredile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kompetencije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zaposlenih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>„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Veliki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aktivnosti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bio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usmeren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tome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gradovi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opštine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učestvuju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svoje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projekte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definišu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kako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način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popišu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svoju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imovinu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unesu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odgovarajuće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evidencije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drugo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što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pomoglo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planiraju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aktivnosti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utvrđuju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budžete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znaju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odakle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mogu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prihoduju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“,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objasnio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Mogić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spellStart"/>
      <w:r>
        <w:rPr>
          <w:rFonts w:ascii="Arial" w:hAnsi="Arial" w:cs="Arial"/>
          <w:color w:val="3C3D41"/>
          <w:sz w:val="21"/>
          <w:szCs w:val="21"/>
        </w:rPr>
        <w:t>Prema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njegovim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rečima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jedan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C3D41"/>
          <w:sz w:val="21"/>
          <w:szCs w:val="21"/>
        </w:rPr>
        <w:t>od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najvažnijih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rezultata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projekta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stvaranje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baze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obučenih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službenika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 xml:space="preserve">„U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okviru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realizovano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nekoliko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obuka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upravljanje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imovinom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namenjenih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jedinicama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od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poslednje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odvijale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veoma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složenim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okolnostima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zbog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pandemije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pohvalu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informacija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tokom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2020.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godine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179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polaznika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gotovo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100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jedinica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steklo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uslov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dobijanje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sertifikata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oblasti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upravljanja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javnom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svojinom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Mogić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Ingve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Engstrom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šef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Sektora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saradnju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Delegacije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Evropske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Republici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Srbiji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da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pristupanje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dešava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doprinos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nivoa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vlasti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delova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društva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  <w:proofErr w:type="gramEnd"/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>„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javni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poslovi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predstavljaju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srž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usluga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pružaju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ljudima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što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rade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predstavnici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razviju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svoje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zajednice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zapravo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direktan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uticaj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kvalitet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života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svakog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čoveka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živi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vašim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kazao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Engstrom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spellStart"/>
      <w:r>
        <w:rPr>
          <w:rFonts w:ascii="Arial" w:hAnsi="Arial" w:cs="Arial"/>
          <w:color w:val="3C3D41"/>
          <w:sz w:val="21"/>
          <w:szCs w:val="21"/>
        </w:rPr>
        <w:t>Prema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njegovim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rečima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države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ne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mogu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razvijaju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modernizuju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ukoliko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celo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društvo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ne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učestvuje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svemu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tome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ako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svako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iskusi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korist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C3D41"/>
          <w:sz w:val="21"/>
          <w:szCs w:val="21"/>
        </w:rPr>
        <w:t>od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promene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>„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Kada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govorimo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ulozi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procesu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pristupanja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Srbije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EU,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postoji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regionalna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politika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ambiciju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pomogne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pruže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jednake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mogućnosti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pomogne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onima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nisu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dovoljno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razvijeni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naveo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Engstrom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ističući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tome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posebno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princip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supsidijarnosti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jedan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od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rukovodećih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primeni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pravnih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tekovina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EU, 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shodno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kojem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razvojna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društvena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druga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pitanja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rešavaju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najneposrednijem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nivou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vlasti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prikladan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što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većini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slučajeva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nivo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najbliži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građanima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privredi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Dušan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Čarkić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pomoćnik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ministra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evropske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integracije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izjavio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projekti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poput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Exchange 5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izuzetno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važni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pre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svega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zbog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rešavanja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imovinskopravnih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pitanja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osnaživanja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kapaciteta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kako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bi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samostalno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upravljali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projektima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  <w:proofErr w:type="gramEnd"/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gramStart"/>
      <w:r>
        <w:rPr>
          <w:rFonts w:ascii="Arial" w:hAnsi="Arial" w:cs="Arial"/>
          <w:color w:val="3C3D41"/>
          <w:sz w:val="21"/>
          <w:szCs w:val="21"/>
        </w:rPr>
        <w:t xml:space="preserve">On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naglasio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značaj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ovakvih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projektnih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akcija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istakao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njihov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doprinos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bržem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prilasku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Evropskoj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uniji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unapređenju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sistema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funkcionišu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našoj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zemlji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  <w:proofErr w:type="gramEnd"/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>„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Naše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Ministarstvo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doživelo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reorganizaciju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te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smo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osnovali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novi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sektor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će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baviti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zelenom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agendom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ciljevima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održivog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razvoja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glavni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fokus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usmeren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ciljeve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održivog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razvoja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odnosno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podršku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zaključio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Dušan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Čarkić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            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spellStart"/>
      <w:r>
        <w:rPr>
          <w:rFonts w:ascii="Arial" w:hAnsi="Arial" w:cs="Arial"/>
          <w:color w:val="3C3D41"/>
          <w:sz w:val="21"/>
          <w:szCs w:val="21"/>
        </w:rPr>
        <w:lastRenderedPageBreak/>
        <w:t>Generalni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sekretar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SKGO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Đorđe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Staničić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izjavio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ovaj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program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kontinuitet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još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C3D41"/>
          <w:sz w:val="21"/>
          <w:szCs w:val="21"/>
        </w:rPr>
        <w:t>od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2004.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godine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je EU,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pet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faza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uložila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više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od 33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miliona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razvoj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Srbiji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proofErr w:type="gramStart"/>
      <w:r>
        <w:rPr>
          <w:rFonts w:ascii="Arial" w:hAnsi="Arial" w:cs="Arial"/>
          <w:color w:val="3C3D41"/>
          <w:sz w:val="21"/>
          <w:szCs w:val="21"/>
        </w:rPr>
        <w:t xml:space="preserve">„Ne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postoji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Srbiji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jedan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drugi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način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učestvovala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nekoj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od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faza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komponenti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smo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imali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Ono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što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posebno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važno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delujemo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sistemu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da mi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organizacija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vodimo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računa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o tome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kako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politike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vode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državnom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nivou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kakva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stremljenja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strateški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dokumenti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to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što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želi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ovoj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oblasti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pojedino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ministarstvo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Vlada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objasnio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Staničić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 xml:space="preserve">On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kazao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saradnja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sa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Ministarstvom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državne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izuzetno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važna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ne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Exchange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već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druga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pitanja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tiču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>„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Sprovođenje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omogućilo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teme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njegovog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obuhvata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budu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godišnjih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izveštaja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sprovođenju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Strategije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reforme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javne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važila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2020.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godine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radili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smo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izradi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nove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Strategije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javne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reformu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sistema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treba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mogućnost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jedan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organizovan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način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krenemo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reforme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istakao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Staničić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 xml:space="preserve">Na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završnoj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konferenciji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premijerno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emitovan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film 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iskustvima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korisničkih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unapređenjima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ostvarenim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zajednicama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zahvaljujući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dok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predstavnici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koordinacionih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institucija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dali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svoj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osvrt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njegov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značaj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Usledilo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predstavljanje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ključnih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elemenata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postignuća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komponentama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Exchange 5, 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svečanost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završena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dodeljivanjem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zahvalnica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gradovima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opštinama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bili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direktni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korisnici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podrške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  <w:proofErr w:type="gramEnd"/>
    </w:p>
    <w:p w:rsidR="00232B42" w:rsidRDefault="00232B42" w:rsidP="00232B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D41"/>
          <w:sz w:val="21"/>
          <w:szCs w:val="21"/>
        </w:rPr>
      </w:pPr>
      <w:r>
        <w:rPr>
          <w:rFonts w:ascii="Arial" w:hAnsi="Arial" w:cs="Arial"/>
          <w:color w:val="3C3D41"/>
          <w:sz w:val="21"/>
          <w:szCs w:val="21"/>
        </w:rPr>
        <w:t xml:space="preserve">Exchange 5 Program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finansirala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Evropska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alokacije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IPA 2014,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sprovodio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Ministarstvo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državne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lokalne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samouprave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saradnji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sa</w:t>
      </w:r>
      <w:proofErr w:type="spellEnd"/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Ministarstvom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finansija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Sektorom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ugovaranje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finansiranje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sredstava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Evropske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unije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3C3D41"/>
          <w:sz w:val="21"/>
          <w:szCs w:val="21"/>
        </w:rPr>
        <w:t>Ministarstvo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evropske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integracije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pratilo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sprovođenje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kroz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učešće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nadzornom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odboru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proces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izveštavanja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Delegacija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EU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imala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ulogu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davanju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prethodnih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odobrenja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pojedine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korake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sprovođenju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ex ante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kontrole</w:t>
      </w:r>
      <w:proofErr w:type="spellEnd"/>
      <w:r>
        <w:rPr>
          <w:rFonts w:ascii="Arial" w:hAnsi="Arial" w:cs="Arial"/>
          <w:color w:val="3C3D41"/>
          <w:sz w:val="21"/>
          <w:szCs w:val="21"/>
        </w:rPr>
        <w:t>).</w:t>
      </w:r>
      <w:proofErr w:type="gram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C3D41"/>
          <w:sz w:val="21"/>
          <w:szCs w:val="21"/>
        </w:rPr>
        <w:t xml:space="preserve">Kao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prethodnim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fazama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Exchange, SKGO je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opredeljena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implementacionog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partnera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čemu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je SKGO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neposredno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pružala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vidove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tehničke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pomoći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ka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LS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i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podršku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za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sprovođenje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gradskih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>/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opštinskih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projekata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okviru</w:t>
      </w:r>
      <w:proofErr w:type="spellEnd"/>
      <w:r>
        <w:rPr>
          <w:rFonts w:ascii="Arial" w:hAnsi="Arial" w:cs="Arial"/>
          <w:color w:val="3C3D41"/>
          <w:sz w:val="21"/>
          <w:szCs w:val="21"/>
        </w:rPr>
        <w:t xml:space="preserve"> grant </w:t>
      </w:r>
      <w:proofErr w:type="spellStart"/>
      <w:r>
        <w:rPr>
          <w:rFonts w:ascii="Arial" w:hAnsi="Arial" w:cs="Arial"/>
          <w:color w:val="3C3D41"/>
          <w:sz w:val="21"/>
          <w:szCs w:val="21"/>
        </w:rPr>
        <w:t>šeme</w:t>
      </w:r>
      <w:proofErr w:type="spellEnd"/>
      <w:r>
        <w:rPr>
          <w:rFonts w:ascii="Arial" w:hAnsi="Arial" w:cs="Arial"/>
          <w:color w:val="3C3D41"/>
          <w:sz w:val="21"/>
          <w:szCs w:val="21"/>
        </w:rPr>
        <w:t>.</w:t>
      </w:r>
      <w:proofErr w:type="gramEnd"/>
    </w:p>
    <w:p w:rsidR="001E5DCF" w:rsidRDefault="00B07B9C">
      <w:bookmarkStart w:id="0" w:name="_GoBack"/>
      <w:r>
        <w:rPr>
          <w:noProof/>
        </w:rPr>
        <w:lastRenderedPageBreak/>
        <w:drawing>
          <wp:inline distT="0" distB="0" distL="0" distR="0">
            <wp:extent cx="7114032" cy="3200400"/>
            <wp:effectExtent l="0" t="0" r="0" b="0"/>
            <wp:docPr id="3" name="Picture 3" descr="C:\Users\Boban\Desktop\2021\Exchange 5\IMG-eaf7e2b2e11e30f846f875bf03912f5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ban\Desktop\2021\Exchange 5\IMG-eaf7e2b2e11e30f846f875bf03912f5f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032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2743200" cy="3657600"/>
            <wp:effectExtent l="0" t="0" r="0" b="0"/>
            <wp:docPr id="2" name="Picture 2" descr="C:\Users\Boban\Desktop\2021\Exchange 5\IMG_20210707_12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ban\Desktop\2021\Exchange 5\IMG_20210707_1235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3657600"/>
            <wp:effectExtent l="0" t="0" r="0" b="0"/>
            <wp:docPr id="1" name="Picture 1" descr="C:\Users\Boban\Desktop\2021\Exchange 5\IMG_20210706_14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an\Desktop\2021\Exchange 5\IMG_20210706_140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DCF" w:rsidSect="00F14041">
      <w:pgSz w:w="11909" w:h="16834" w:code="9"/>
      <w:pgMar w:top="446" w:right="1440" w:bottom="547" w:left="1440" w:header="720" w:footer="720" w:gutter="0"/>
      <w:paperSrc w:first="26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2"/>
    <w:rsid w:val="001E5DCF"/>
    <w:rsid w:val="00232B42"/>
    <w:rsid w:val="00B07B9C"/>
    <w:rsid w:val="00F1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2</cp:revision>
  <dcterms:created xsi:type="dcterms:W3CDTF">2021-07-13T10:58:00Z</dcterms:created>
  <dcterms:modified xsi:type="dcterms:W3CDTF">2021-07-13T11:02:00Z</dcterms:modified>
</cp:coreProperties>
</file>